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line="240" w:lineRule="auto"/>
        <w:contextualSpacing w:val="0"/>
      </w:pPr>
      <w:bookmarkStart w:colFirst="0" w:colLast="0" w:name="h.qmz4ek3ujiwr" w:id="0"/>
      <w:bookmarkEnd w:id="0"/>
      <w:r w:rsidDel="00000000" w:rsidR="00000000" w:rsidRPr="00000000">
        <w:rPr>
          <w:rFonts w:ascii="Trebuchet MS" w:cs="Trebuchet MS" w:eastAsia="Trebuchet MS" w:hAnsi="Trebuchet MS"/>
          <w:rtl w:val="0"/>
        </w:rPr>
        <w:t xml:space="preserve">Методические рекомендации для индивидуальных предпринимателей, применяющих упрощенную систему налогообложения на основе патента.</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pStyle w:val="Heading3"/>
        <w:spacing w:line="240" w:lineRule="auto"/>
        <w:contextualSpacing w:val="0"/>
        <w:jc w:val="center"/>
      </w:pPr>
      <w:bookmarkStart w:colFirst="0" w:colLast="0" w:name="h.18vgq8kyzqwi" w:id="1"/>
      <w:bookmarkEnd w:id="1"/>
      <w:r w:rsidDel="00000000" w:rsidR="00000000" w:rsidRPr="00000000">
        <w:rPr>
          <w:rFonts w:ascii="Trebuchet MS" w:cs="Trebuchet MS" w:eastAsia="Trebuchet MS" w:hAnsi="Trebuchet MS"/>
          <w:sz w:val="24"/>
          <w:rtl w:val="0"/>
        </w:rPr>
        <w:t xml:space="preserve">Разработано Законодательным Собранием Челябинской области совместно с Минэкономразвития Челябинской области и Управлением ФНС по Челябинской области.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Упрощенная система налогообложения на основе патента является разновидностью упрощенной системы налогообложения, ее применение регулируется Главой 26.2 Налогового кодекса РФ и Законом Челябинской области № 502-ЗО от 26 ноября 2009 года «О применении индивидуальными предпринимателями упрощенной системы налогообложения на основе патента на территории Челябинской области».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b w:val="1"/>
          <w:sz w:val="24"/>
          <w:rtl w:val="0"/>
        </w:rPr>
        <w:t xml:space="preserve">Применение упрощенной системы налогообложения на основе патента разрешается индивидуальным предпринимателям, осуществляющим следующие виды предпринимательской деятельности:</w:t>
      </w:r>
      <w:r w:rsidDel="00000000" w:rsidR="00000000" w:rsidRPr="00000000">
        <w:rPr>
          <w:rFonts w:ascii="Trebuchet MS" w:cs="Trebuchet MS" w:eastAsia="Trebuchet MS" w:hAnsi="Trebuchet MS"/>
          <w:sz w:val="24"/>
          <w:rtl w:val="0"/>
        </w:rPr>
        <w:t xml:space="preserve">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 ремонт и пошив швейных, меховых и кожаных изделий, головных уборов и изделий из текстильной галантереи, ремонт, пошив и вязание трикотажных изделий;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 ремонт, окраска и пошив обуви;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 изготовление валяной обуви;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 изготовление текстильной галантереи;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 изготовление и ремонт металлической галантереи, ключей, номерных знаков, указателей улиц;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 изготовление траурных венков, искусственных цветов, гирлянд;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7) изготовление оград, памятников, венков из металла;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8) изготовление и ремонт мебели;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9) производство и реставрация ковров и ковровых изделий;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10) ремонт и техническое обслуживание бытовой радиоэлектронной аппаратуры, бытовых машин и бытовых приборов, ремонт и изготовление металлоизделий;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11) производство инвентаря для спортивного рыболовства;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12) чеканка и гравировка ювелирных изделий;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13) производство и ремонт игр и игрушек, за исключением компьютерных игр;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14) изготовление изделий народных художественных промыслов;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15) изготовление и ремонт ювелирных изделий, бижутерии;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16) производство щипаной шерсти, сырых шкур и кож крупного рогатого скота, животных семейства лошадиных, овец, коз и свиней;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17) выделка и крашение шкур животных;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18) выделка и крашение меха;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19) переработка давальческой мытой шерсти на трикотажную пряжу;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20) расчес шерсти;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21) стрижка домашних животных;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22) защита садов, огородов и зеленых насаждений от вредителей и болезней;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23) изготовление сельскохозяйственного инвентаря из материала заказчика;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24) ремонт и изготовление бондарной посуды и гончарных изделий;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25) изготовление и ремонт деревянных лодок;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26) ремонт туристского снаряжения и инвентаря;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27) распиловка древесины;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28) граверные работы по металлу, стеклу, фарфору, дереву, керамике;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29) изготовление и печатание визитных карточек и пригласительных билетов;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30) копировально-множительные, переплетные, брошюровочные, окантовочные, картонажные работы;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31) чистка обуви;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32) деятельность в области фотографии;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33) производство, монтаж, прокат и показ фильмов;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34) техническое обслуживание и ремонт автотранспортных средств;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35) предоставление прочих видов услуг по техническому обслуживанию автотранспортных средств (мойка, полирование, нанесение защитных и декоративных покрытий на кузов, чистка салона, буксировка);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36) оказание услуг тамады, актера на торжествах, музыкальное сопровождение обрядов;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37) предоставление услуг парикмахерскими и салонами красоты;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38) автотранспортные услуги;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39) предоставление секретарских, редакторских услуг и услуг по переводу;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40) техническое обслуживание и ремонт офисных машин и вычислительной техники;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41) монофоническая и стереофоническая запись речи, пения, инструментального исполнения заказчика на магнитную ленту, компакт-диск. Перезапись музыкальных и литературных произведений на магнитную ленту, компакт-диск;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42) услуги по присмотру и уходу за детьми и больными;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43) услуги по уборке жилых помещений;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44) услуги по ведению домашнего хозяйства;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45) ремонт и строительство жилья и других построек;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46) производство монтажных, электромонтажных, санитарно-технических и сварочных работ;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47) услуги по оформлению интерьера жилого помещения и услуги художественного оформления;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48) услуги по приему стеклопосуды и вторичного сырья, за исключением металлолома;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49) нарезка стекла и зеркал, художественная обработка стекла;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50) услуги по остеклению балконов и лоджий;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51) услуги бань, саун, соляриев, массажных кабинетов;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52) услуги по обучению, в том числе в платных кружках, студиях, на курсах, и услуги по репетиторству;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53) тренерские услуги;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54) услуги по зеленому хозяйству и декоративному цветоводству;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55) производство хлеба и кондитерских изделий;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56) передача во временное владение и (или) в пользование гаражей, собственных жилых помещений, а также жилых помещений, возведенных на дачных земельных участках;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57) услуги носильщиков на железнодорожных вокзалах, автовокзалах, аэровокзалах, в аэропортах, морских, речных портах;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58) ветеринарные услуги;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59) услуги платных туалетов;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60) ритуальные услуги;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61) услуги уличных патрулей, охранников, сторожей и вахтеров;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62) услуги общественного питания;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63) услуги по переработке сельскохозяйственной продукции, в том числе по производству мясных, рыбных и молочных продуктов, хлебобулочных изделий, овощных и плодово-ягодных продуктов, изделий и полуфабрикатов из льна, хлопка, конопли и лесоматериалов (за исключением пиломатериалов);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64) услуги, связанные со сбытом сельскохозяйственной продукции (хранение, сортировка, сушка, мойка, расфасовка, упаковка и транспортировка);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65) оказание услуг, связанных с обслуживанием сельскохозяйственного производства (механизированные, агрохимические, мелиоративные, транспортные работы);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66) выпас скота;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67) ведение охотничьего хозяйства и осуществление охоты;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68) занятие частной медицинской практикой или частной фармацевтической деятельностью лицом, имеющим лицензию на указанные виды деятельности;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69) осуществление частной детективной деятельности лицом, имеющим лицензию.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Как получить патент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Заявление на получение патента подается индивидуальным предпринимателем в налоговый орган по месту постановки индивидуального предпринимателя на учет в налоговом органе не позднее чем за один месяц до начала применения индивидуальным предпринимателем упрощенной системы налогообложения на основе патента.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Налоговый орган обязан в десятидневный срок выдать индивидуальному предпринимателю патент или уведомить его об отказе в выдаче патента.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Документом, удостоверяющим право применения индивидуальными предпринимателями упрощенной системы налогообложения на основе патента, является выдаваемый индивидуальному предпринимателю налоговым органом патент на осуществление одного из видов предпринимательской деятельности.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Форма заявления, форма патента и форма уведомления об отказе в выдаче патента утверждены приказом Федеральной налоговой службы от 31 августа 2005 г. № САЭ-3-22/417.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 выдаче патента заполняется также и его дубликат, который хранится в налоговом органе.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Патент действует только на территории того субъекта Российской Федерации, на территории которого он выдан.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Индивидуальный предприниматель, осуществляющий несколько видов предпринимательской деятельности, может приобретать несколько патентов и (или) совмещать применение упрощенной системы налогообложения на основе патента с иными режимами налогообложения (упрощенной системой налогообложения, единым налогом на вмененный доход для отдельных видов деятельности, общим режимом налогообложения).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 этом переход с упрощенной системы налогообложения на основе патента на общий порядок применения упрощенной системы налогообложения и обратно может быть осуществлен только после истечения периода, на который выдается патент.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b w:val="1"/>
          <w:sz w:val="24"/>
          <w:rtl w:val="0"/>
        </w:rPr>
        <w:t xml:space="preserve">Срок действия патента</w:t>
      </w:r>
      <w:r w:rsidDel="00000000" w:rsidR="00000000" w:rsidRPr="00000000">
        <w:rPr>
          <w:rFonts w:ascii="Trebuchet MS" w:cs="Trebuchet MS" w:eastAsia="Trebuchet MS" w:hAnsi="Trebuchet MS"/>
          <w:sz w:val="24"/>
          <w:rtl w:val="0"/>
        </w:rPr>
        <w:t xml:space="preserve">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Патент выдается по выбору налогоплательщика на период от одного до 12 месяцев. Налоговым периодом считается срок, на который выдан патент.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Стоимость патента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Годовая стоимость патента составляет 6 процентов от потенциально возможного к получению индивидуальным предпринимателем годового дохода, установленного Законом Челябинской области. В зависимости от места ведения предпринимательской деятельности на территории Челябинской области размер потенциально возможного к получению индивидуальным предпринимателем годового дохода корректируется с учетом соответствующего коэффициента: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 Златоустовский, Миасский, Озерский, Снежинский, Трехгорный и Чебаркульский городские округа, Карталинский и Саткинский муниципальные районы - 0,8;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Стоимость патента за месяц в разрезе видов деятельности и муниципальных образований отражена в таблице №1 настоящих методических рекомендаций.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В случае получения индивидуальным предпринимателем патента на более короткий срок стоимость патента подлежит пересчету в соответствии с продолжительностью того периода, на который выдан патент. </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b w:val="1"/>
          <w:sz w:val="24"/>
          <w:rtl w:val="0"/>
        </w:rPr>
        <w:t xml:space="preserve">Порядок оплаты патента</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Индивидуальные предприниматели, перешедшие на упрощенную систему налогообложения на основе патента, производят оплату одной трети стоимости патента в срок не позднее 25 календарных дней после начала осуществления предпринимательской деятельности на основе патента.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Оплата оставшейся части стоимости патента производится налогоплательщиком не позднее 25 календарных дней со дня окончания периода, на который был получен патент.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 этом при оплате оставшейся части стоимости патента она подлежит уменьшению на сумму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 уменьшении стоимости патента учитываются страховые взносы, уплаченные индивидуальным предпринимателем в виде фиксированного платежа в соответствии со статьей 28 Федерального Закона № 167-ФЗ от 15 декабря 2001 года «Об обязательном пенсионном страховании в Российской Федерации».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В связи с тем, что упрощенная система налогообложения на основе патента, применяемая индивидуальными предпринимателями в соответствии со статьей 346.25.1 Налогового кодекса РФ, является разновидностью упрощенной системы налогообложения, применение которой регулируется главой 26.2 Налогового кодекса РФ, стоимость патента не может быть уменьшена на сумму страховых взносов более чем на 50 процентов (пункт 3 статьи 346.21 Налогового кодекса РФ).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Привлечение наемных работников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 применении упрощенной системы налогообложения на основе патента индивидуальный предприниматель вправе привлекать наемных работников, в том числе по договорам гражданско-правового характера, среднесписочная численность которых, определяемая в порядке, устанавливаемом федеральным органом исполнительной власти, уполномоченным в области статистики, не должна превышать за налоговый период пять человек.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Порядок определения среднесписочной численности работников установлен в разделе 1 «Численность, начисленная заработная плата работников и отработанное время» Указаний по заполнению форм федерального статистического наблюдения по заполнению форм федерального статистического наблюдения, утвержденных Приказом Росстата от 12 ноября 2008 года № 278.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 выдаче индивидуальному предпринимателю патента его стоимость не корректируется в зависимости от предполагаемого или фактического количества наемных работников.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Налогообложение выплаченной наемным работникам заработной платы производится аналогично порядка, предусмотренного пунктом 3 статьи 346.11 Налогового кодекса РФ. Применение упрощенной системы налогообложения индивидуальными предпринимателями предусматривает их освобождение от обязанности по уплате единого социального налога (в отношении доходов, полученных от предпринимательской деятельности, а также выплат и иных вознаграждений, начисляемых ими в пользу физических лиц). На заработную плату работников начисляются и ежемесячно уплачиваются страховые взносы в Пенсионный фонд РФ и страховые взносы на обязательное социальное страхование от несчастных случаев на производстве и профзаболеваний в Фонд социального страхования, непосредственно из дохода наемных работников удерживается НДФЛ.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Налоговый учет и отчетность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Налогоплательщики упрощенной системы налогообложения на основе патента ведут налоговый учет доходов в порядке, установленной статьей 346.24 Налогового кодекса РФ. Книга учета доходов индивидуальных предпринимателей, применяющих упрощенную систему налогообложения на основе патента, и порядок ее заполнения утверждены Приказом Министерства финансов РФ от 31 декабря 2008 года № 154н.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Налоговая декларация, предусмотренная статьей 346.23 НК РФ, налогоплательщиками упрощенной системы налогообложения на основе патента в налоговые органы не представляется.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Индивидуальные предприниматели, уплачивающие фиксированный платеж на обязательное пенсионное страхование, обязаны ежегодно (до 1 марта года, следующего за отчетным) предоставлять в территориальное отделение Пенсионного фонда РФ сведения, необходимые для ведения персонифицированного учета.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В случае привлечения наемных работников индивидуальный предприниматель обязан представлять ежеквартальную отчетность по страховым взносам на обязательное пенсионное страхование, отчетность в Фонд социального страхования по страховым взносам на обязательное социальное страхование от несчастных случаев на производстве и профзаболеваний и раз в год сведения о доходах по форме 2-НДФЛ и индивидуальные сведения в Пенсионный фонд РФ в общеустановленном порядке.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Кроме того, все предприниматели обязаны представлять статистическую отчетность в органы статистики.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Утрата права на применение упрощенной системы налогообложения на основе патента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Индивидуальный предприниматель теряет право на применение упрощенной системы налогообложения на основе патента в периоде, на который был выдан патент в следующих случаях: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1. при нарушении условий применения упрощенной системы налогообложения на основе патента, а именно: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 если в календарном году, в котором налогоплательщик применяет упрощенную систему налогообложения на основе патента, его доходы превысили размер доходов, установленный статьей 346.13 Налогового кодекса РФ (60 млн. руб.), независимо от количества полученных в указанном году патентов;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 если среднесписочная численность наемных работников превысит в налоговом периоде 5 человек;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2. при неоплате (неполной оплате) одной трети стоимости патента в установленный срок.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В этом случае индивидуальный предприниматель должен уплачивать налоги в соответствии с общим режимом налогообложения. При этом стоимость (часть стоимости) патента, уплаченная индивидуальным предпринимателем, не возвращается.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Индивидуальный предприниматель обязан сообщить в налоговый орган об утрате права на применение упрощенной системы налогообложения на основе патента и переходе на иной режим налогообложения в течение 15 календарных дней с начала применения иного режима налогообложения.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Индивидуальный предприниматель, перешедший с упрощенной системы налогообложения на основе патента на иной режим налогообложения, вправе вновь перейти на упрощенную систему налогообложения на основе патента не ранее чем через три года после того, как он утратил право на применение упрощенной системы налогообложения на основе патента.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Применение контрольно-кассовой техники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Для организаций и индивидуальных предпринимателей, применяющих упрощенную систему налогообложения, сохраняется действующий порядок ведения кассовых операций.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В соответствии с Федеральным законом 22.05.2003 № 54-ФЗ «О применении контрольно-кассовой техники при осуществлении наличных денежных расчетов и (или) расчетов с использованием платежных карт» все организации и индивидуальные предприниматели при осуществлении наличных денежных расчетов и (или) расчетов с использованием платежных карт в случаях продажи товаров, выполнения работ или оказания услуг обязаны применять контрольно-кассовую технику.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Организации и индивидуальные предприниматели могут осуществлять наличные денежные расчеты и (или) расчеты с использованием платежных карт без применения контрольно-кассовой техники в случае оказания услуг населению при условии выдачи ими соответствующих бланков строгой отчетности. При этом организации и индивидуальные предприниматели вправе использовать самостоятельно разработанный документ, в котором должны содержаться обязательные реквизиты. </w:t>
      </w:r>
    </w:p>
    <w:p w:rsidR="00000000" w:rsidDel="00000000" w:rsidP="00000000" w:rsidRDefault="00000000" w:rsidRPr="00000000">
      <w:pPr>
        <w:spacing w:line="240" w:lineRule="auto"/>
        <w:contextualSpacing w:val="0"/>
        <w:jc w:val="both"/>
      </w:pPr>
      <w:r w:rsidDel="00000000" w:rsidR="00000000" w:rsidRPr="00000000">
        <w:rPr>
          <w:rFonts w:ascii="Trebuchet MS" w:cs="Trebuchet MS" w:eastAsia="Trebuchet MS" w:hAnsi="Trebuchet MS"/>
          <w:sz w:val="24"/>
          <w:rtl w:val="0"/>
        </w:rPr>
        <w:t xml:space="preserve">Порядок осуществлении наличных денежных расчетов и (или) расчетов с использованием платежных карт без применения контрольно-кассовой техники утвержден постановлением Правительства РФ от 6 мая 2008 года № 359.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sectPr>
      <w:pgSz w:h="16838.0" w:w="11906.0"/>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